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C61A" w14:textId="77777777" w:rsidR="00CB6628" w:rsidRDefault="00000000">
      <w:pPr>
        <w:spacing w:after="0" w:line="259" w:lineRule="auto"/>
        <w:ind w:left="0" w:right="4" w:firstLine="0"/>
        <w:jc w:val="center"/>
      </w:pPr>
      <w:r>
        <w:rPr>
          <w:sz w:val="28"/>
        </w:rPr>
        <w:t xml:space="preserve">Il Biotech Center of </w:t>
      </w:r>
      <w:proofErr w:type="spellStart"/>
      <w:r>
        <w:rPr>
          <w:sz w:val="28"/>
        </w:rPr>
        <w:t>Excellence</w:t>
      </w:r>
      <w:proofErr w:type="spellEnd"/>
      <w:r>
        <w:rPr>
          <w:sz w:val="28"/>
        </w:rPr>
        <w:t xml:space="preserve"> </w:t>
      </w:r>
    </w:p>
    <w:p w14:paraId="1CF99981" w14:textId="77777777" w:rsidR="00CB6628" w:rsidRDefault="00000000">
      <w:pPr>
        <w:spacing w:after="0" w:line="259" w:lineRule="auto"/>
        <w:ind w:left="0" w:right="0" w:firstLine="0"/>
        <w:jc w:val="left"/>
      </w:pPr>
      <w:r>
        <w:t xml:space="preserve"> </w:t>
      </w:r>
    </w:p>
    <w:p w14:paraId="2E82BD56" w14:textId="77777777" w:rsidR="00CB6628" w:rsidRDefault="00000000">
      <w:pPr>
        <w:ind w:left="0" w:right="0" w:firstLine="0"/>
      </w:pPr>
      <w:r>
        <w:t xml:space="preserve">Con un focus particolare sui trattamenti per le malattie rare, il Biotech Center of </w:t>
      </w:r>
      <w:proofErr w:type="spellStart"/>
      <w:r>
        <w:t>Excellence</w:t>
      </w:r>
      <w:proofErr w:type="spellEnd"/>
      <w:r>
        <w:t xml:space="preserve"> </w:t>
      </w:r>
      <w:r>
        <w:rPr>
          <w:rFonts w:cs="Verdana Pro"/>
        </w:rPr>
        <w:t xml:space="preserve">di Parma si impegna a guidare l’innovazione nel campo delle biotecnologie, specializzandosi </w:t>
      </w:r>
      <w:r>
        <w:t xml:space="preserve">nello sviluppo e nella produzione di anticorpi monoclonali, enzimi e altre proteine complesse. Si tratta della struttura più avanzata del Gruppo Chiesi, progettata per coprire l'intero processo produttivo dei farmaci biologici, dalle colture cellulari al prodotto finito. Questo approccio integrato comprende la produzione di </w:t>
      </w:r>
      <w:proofErr w:type="spellStart"/>
      <w:r>
        <w:t>drug</w:t>
      </w:r>
      <w:proofErr w:type="spellEnd"/>
      <w:r>
        <w:t xml:space="preserve"> </w:t>
      </w:r>
      <w:proofErr w:type="spellStart"/>
      <w:r>
        <w:t>substance</w:t>
      </w:r>
      <w:proofErr w:type="spellEnd"/>
      <w:r>
        <w:t xml:space="preserve"> e </w:t>
      </w:r>
      <w:proofErr w:type="spellStart"/>
      <w:r>
        <w:t>drug</w:t>
      </w:r>
      <w:proofErr w:type="spellEnd"/>
      <w:r>
        <w:t xml:space="preserve"> product, inclusi il confezionamento finale e le fasi di controllo qualità, garantendo così una filiera completa </w:t>
      </w:r>
      <w:r>
        <w:rPr>
          <w:rFonts w:cs="Verdana Pro"/>
        </w:rPr>
        <w:t xml:space="preserve">all'interno di un’unica struttura. </w:t>
      </w:r>
      <w:r>
        <w:t xml:space="preserve">Consolidando tutte le fasi di produzione, il Centro ottiene un'efficienza dei costi, migliora il controllo della qualità e aumenta la solidità della catena di approvvigionamento. </w:t>
      </w:r>
    </w:p>
    <w:p w14:paraId="68A64D0E" w14:textId="77777777" w:rsidR="00CB6628" w:rsidRDefault="00000000">
      <w:pPr>
        <w:spacing w:after="0" w:line="259" w:lineRule="auto"/>
        <w:ind w:left="0" w:right="0" w:firstLine="0"/>
        <w:jc w:val="left"/>
      </w:pPr>
      <w:r>
        <w:t xml:space="preserve"> </w:t>
      </w:r>
    </w:p>
    <w:p w14:paraId="4EE6F07F" w14:textId="77777777" w:rsidR="00CB6628" w:rsidRDefault="00000000">
      <w:pPr>
        <w:spacing w:after="45" w:line="259" w:lineRule="auto"/>
        <w:ind w:left="-273" w:right="-288" w:firstLine="0"/>
        <w:jc w:val="left"/>
      </w:pPr>
      <w:r>
        <w:rPr>
          <w:noProof/>
        </w:rPr>
        <w:drawing>
          <wp:inline distT="0" distB="0" distL="0" distR="0" wp14:anchorId="71215F1E" wp14:editId="284AE3E8">
            <wp:extent cx="6478906" cy="566420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6478906" cy="5664200"/>
                    </a:xfrm>
                    <a:prstGeom prst="rect">
                      <a:avLst/>
                    </a:prstGeom>
                  </pic:spPr>
                </pic:pic>
              </a:graphicData>
            </a:graphic>
          </wp:inline>
        </w:drawing>
      </w:r>
    </w:p>
    <w:p w14:paraId="0CA50CE2" w14:textId="77777777" w:rsidR="00CB6628" w:rsidRDefault="00000000">
      <w:pPr>
        <w:spacing w:after="0" w:line="259" w:lineRule="auto"/>
        <w:ind w:left="0" w:right="0" w:firstLine="0"/>
        <w:jc w:val="left"/>
      </w:pPr>
      <w:r>
        <w:rPr>
          <w:rFonts w:ascii="Calibri" w:eastAsia="Calibri" w:hAnsi="Calibri" w:cs="Calibri"/>
        </w:rPr>
        <w:t xml:space="preserve"> </w:t>
      </w:r>
    </w:p>
    <w:p w14:paraId="32EBFE4A" w14:textId="77777777" w:rsidR="00CB6628" w:rsidRDefault="00000000">
      <w:pPr>
        <w:spacing w:after="0" w:line="259" w:lineRule="auto"/>
        <w:ind w:left="0" w:right="0" w:firstLine="0"/>
        <w:jc w:val="left"/>
      </w:pPr>
      <w:r>
        <w:t xml:space="preserve"> </w:t>
      </w:r>
    </w:p>
    <w:p w14:paraId="22871B9A" w14:textId="77777777" w:rsidR="00CB6628" w:rsidRDefault="00000000">
      <w:pPr>
        <w:spacing w:after="0" w:line="259" w:lineRule="auto"/>
        <w:ind w:left="0" w:right="0" w:firstLine="0"/>
        <w:jc w:val="left"/>
      </w:pPr>
      <w:r>
        <w:t xml:space="preserve"> </w:t>
      </w:r>
    </w:p>
    <w:p w14:paraId="343A97B2" w14:textId="77777777" w:rsidR="00CB6628" w:rsidRDefault="00000000">
      <w:pPr>
        <w:spacing w:after="0" w:line="259" w:lineRule="auto"/>
        <w:ind w:left="0" w:right="0" w:firstLine="0"/>
        <w:jc w:val="left"/>
      </w:pPr>
      <w:r>
        <w:lastRenderedPageBreak/>
        <w:t xml:space="preserve"> </w:t>
      </w:r>
    </w:p>
    <w:p w14:paraId="46DA5CB5" w14:textId="77777777" w:rsidR="00CB6628" w:rsidRDefault="00000000">
      <w:pPr>
        <w:spacing w:after="0" w:line="259" w:lineRule="auto"/>
        <w:ind w:left="76" w:right="0" w:firstLine="0"/>
        <w:jc w:val="center"/>
      </w:pPr>
      <w:r>
        <w:t xml:space="preserve"> </w:t>
      </w:r>
    </w:p>
    <w:p w14:paraId="42236BD0" w14:textId="77777777" w:rsidR="00CB6628" w:rsidRDefault="00000000">
      <w:pPr>
        <w:spacing w:after="0" w:line="259" w:lineRule="auto"/>
        <w:ind w:left="76" w:right="0" w:firstLine="0"/>
        <w:jc w:val="center"/>
      </w:pPr>
      <w:r>
        <w:t xml:space="preserve"> </w:t>
      </w:r>
    </w:p>
    <w:p w14:paraId="63EBDF28" w14:textId="77777777" w:rsidR="00CB6628" w:rsidRDefault="00000000">
      <w:pPr>
        <w:spacing w:after="0" w:line="259" w:lineRule="auto"/>
        <w:ind w:left="76" w:right="0" w:firstLine="0"/>
        <w:jc w:val="center"/>
      </w:pPr>
      <w:r>
        <w:t xml:space="preserve"> </w:t>
      </w:r>
    </w:p>
    <w:p w14:paraId="6ADCDE24" w14:textId="77777777" w:rsidR="00CB6628" w:rsidRDefault="00000000">
      <w:pPr>
        <w:spacing w:after="0" w:line="259" w:lineRule="auto"/>
        <w:ind w:left="0" w:right="0" w:firstLine="0"/>
        <w:jc w:val="left"/>
      </w:pPr>
      <w:r>
        <w:t xml:space="preserve"> </w:t>
      </w:r>
    </w:p>
    <w:p w14:paraId="3642F866" w14:textId="77777777" w:rsidR="00CB6628" w:rsidRDefault="00000000">
      <w:pPr>
        <w:spacing w:after="0" w:line="259" w:lineRule="auto"/>
        <w:ind w:left="0" w:right="0" w:firstLine="0"/>
        <w:jc w:val="left"/>
      </w:pPr>
      <w:r>
        <w:rPr>
          <w:sz w:val="24"/>
        </w:rPr>
        <w:t xml:space="preserve">R&amp;S e produzione </w:t>
      </w:r>
    </w:p>
    <w:p w14:paraId="42403B7E" w14:textId="77777777" w:rsidR="00CB6628" w:rsidRDefault="00000000">
      <w:pPr>
        <w:shd w:val="clear" w:color="auto" w:fill="AE1164"/>
        <w:spacing w:after="0" w:line="259" w:lineRule="auto"/>
        <w:ind w:left="259" w:right="0" w:firstLine="0"/>
        <w:jc w:val="left"/>
      </w:pPr>
      <w:r>
        <w:rPr>
          <w:color w:val="FFFFFF"/>
        </w:rPr>
        <w:t xml:space="preserve"> </w:t>
      </w:r>
    </w:p>
    <w:p w14:paraId="353733D4" w14:textId="77777777" w:rsidR="00CB6628" w:rsidRDefault="00000000">
      <w:pPr>
        <w:shd w:val="clear" w:color="auto" w:fill="AE1164"/>
        <w:spacing w:after="1" w:line="239" w:lineRule="auto"/>
        <w:ind w:left="269" w:right="0" w:hanging="10"/>
      </w:pPr>
      <w:r>
        <w:rPr>
          <w:rFonts w:cs="Verdana Pro"/>
          <w:color w:val="FFFFFF"/>
        </w:rPr>
        <w:t>“</w:t>
      </w:r>
      <w:r>
        <w:rPr>
          <w:rFonts w:cs="Verdana Pro"/>
          <w:i/>
          <w:color w:val="FFFFFF"/>
        </w:rPr>
        <w:t xml:space="preserve">Il Biotech Center of </w:t>
      </w:r>
      <w:proofErr w:type="spellStart"/>
      <w:r>
        <w:rPr>
          <w:rFonts w:cs="Verdana Pro"/>
          <w:i/>
          <w:color w:val="FFFFFF"/>
        </w:rPr>
        <w:t>Excellence</w:t>
      </w:r>
      <w:proofErr w:type="spellEnd"/>
      <w:r>
        <w:rPr>
          <w:rFonts w:cs="Verdana Pro"/>
          <w:i/>
          <w:color w:val="FFFFFF"/>
        </w:rPr>
        <w:t xml:space="preserve"> è dotato di tecnologie all'avanguardia per gestire le complessità della produzione di farmaci biologici. Questo include la flessibilità di adottare nuovi processi, cruciale per la produzione di farmaci biologici, che sono intrinsecamente più complessi rispetto ai farmaci tradizionali a base chimica. Per Chiesi, l'investimento nel Biotech Center non è solo volto a garantire l'autonomia della capacità produttiva per salvaguardare il futuro dei pazienti, ma è anche guidato dalla volontà di creare know-how interno, con un centro di ricerca connesso, uno dei pochi in Europa.”</w:t>
      </w:r>
      <w:r>
        <w:rPr>
          <w:color w:val="FFFFFF"/>
        </w:rPr>
        <w:t xml:space="preserve"> </w:t>
      </w:r>
    </w:p>
    <w:p w14:paraId="21CC2ACD" w14:textId="77777777" w:rsidR="00CB6628" w:rsidRDefault="00000000">
      <w:pPr>
        <w:shd w:val="clear" w:color="auto" w:fill="AE1164"/>
        <w:spacing w:after="0" w:line="259" w:lineRule="auto"/>
        <w:ind w:left="269" w:right="0" w:hanging="10"/>
        <w:jc w:val="left"/>
      </w:pPr>
      <w:r>
        <w:rPr>
          <w:color w:val="FFFFFF"/>
        </w:rPr>
        <w:t xml:space="preserve">Antonio Magnelli, Executive Vice </w:t>
      </w:r>
      <w:proofErr w:type="spellStart"/>
      <w:r>
        <w:rPr>
          <w:color w:val="FFFFFF"/>
        </w:rPr>
        <w:t>President</w:t>
      </w:r>
      <w:proofErr w:type="spellEnd"/>
      <w:r>
        <w:rPr>
          <w:color w:val="FFFFFF"/>
        </w:rPr>
        <w:t xml:space="preserve">, Global Manufacturing </w:t>
      </w:r>
      <w:proofErr w:type="spellStart"/>
      <w:r>
        <w:rPr>
          <w:color w:val="FFFFFF"/>
        </w:rPr>
        <w:t>Division</w:t>
      </w:r>
      <w:proofErr w:type="spellEnd"/>
      <w:r>
        <w:rPr>
          <w:color w:val="FFFFFF"/>
        </w:rPr>
        <w:t xml:space="preserve">  </w:t>
      </w:r>
    </w:p>
    <w:p w14:paraId="3092CBB2" w14:textId="77777777" w:rsidR="00CB6628" w:rsidRDefault="00000000">
      <w:pPr>
        <w:shd w:val="clear" w:color="auto" w:fill="AE1164"/>
        <w:spacing w:after="0" w:line="259" w:lineRule="auto"/>
        <w:ind w:left="259" w:right="0" w:firstLine="0"/>
        <w:jc w:val="left"/>
      </w:pPr>
      <w:r>
        <w:rPr>
          <w:color w:val="FFFFFF"/>
        </w:rPr>
        <w:t xml:space="preserve"> </w:t>
      </w:r>
    </w:p>
    <w:p w14:paraId="0A9D419C" w14:textId="77777777" w:rsidR="00CB6628" w:rsidRDefault="00000000">
      <w:pPr>
        <w:spacing w:after="0" w:line="259" w:lineRule="auto"/>
        <w:ind w:left="0" w:right="0" w:firstLine="0"/>
        <w:jc w:val="left"/>
      </w:pPr>
      <w:r>
        <w:t xml:space="preserve"> </w:t>
      </w:r>
    </w:p>
    <w:p w14:paraId="4DEABE42" w14:textId="77777777" w:rsidR="00CB6628" w:rsidRDefault="00000000">
      <w:pPr>
        <w:shd w:val="clear" w:color="auto" w:fill="AE1164"/>
        <w:spacing w:after="0" w:line="259" w:lineRule="auto"/>
        <w:ind w:left="410" w:right="0" w:firstLine="0"/>
        <w:jc w:val="left"/>
      </w:pPr>
      <w:r>
        <w:rPr>
          <w:color w:val="FFFFFF"/>
        </w:rPr>
        <w:t xml:space="preserve"> </w:t>
      </w:r>
    </w:p>
    <w:p w14:paraId="4191D9D8" w14:textId="77777777" w:rsidR="00CB6628" w:rsidRDefault="00000000">
      <w:pPr>
        <w:shd w:val="clear" w:color="auto" w:fill="AE1164"/>
        <w:spacing w:after="1" w:line="239" w:lineRule="auto"/>
        <w:ind w:left="420" w:right="0" w:hanging="10"/>
      </w:pPr>
      <w:r>
        <w:rPr>
          <w:rFonts w:cs="Verdana Pro"/>
          <w:color w:val="FFFFFF"/>
        </w:rPr>
        <w:t>“</w:t>
      </w:r>
      <w:r>
        <w:rPr>
          <w:rFonts w:cs="Verdana Pro"/>
          <w:i/>
          <w:color w:val="FFFFFF"/>
        </w:rPr>
        <w:t>Chiesi è inizialmente entrata nel settore biologico prevalentemente attraverso l'acquisizione di prodotti sviluppati esternamente, a vari stadi di maturità. Questo approccio di successo ha fornito una valida base per espandere le nostre competenze, aumentare gli investimenti e costruire il necessario know-how nel settore. Una volta raggiunta una massa critica di competenze e prodotti, abbiamo preso la decisione strategica di investire direttamente nelle nostre capacità produttive. Questo approccio è progettato per far crescere la nostra pipeline sfruttando un modello unico e mirato di integrazione tra ricerca, sviluppo e produzione”.</w:t>
      </w:r>
      <w:r>
        <w:rPr>
          <w:color w:val="FFFFFF"/>
        </w:rPr>
        <w:t xml:space="preserve"> </w:t>
      </w:r>
    </w:p>
    <w:p w14:paraId="135F1494" w14:textId="77777777" w:rsidR="00CB6628" w:rsidRPr="009324E6" w:rsidRDefault="00000000">
      <w:pPr>
        <w:shd w:val="clear" w:color="auto" w:fill="AE1164"/>
        <w:spacing w:after="0" w:line="259" w:lineRule="auto"/>
        <w:ind w:left="420" w:right="0" w:hanging="10"/>
        <w:jc w:val="left"/>
        <w:rPr>
          <w:lang w:val="en-US"/>
        </w:rPr>
      </w:pPr>
      <w:r w:rsidRPr="009324E6">
        <w:rPr>
          <w:color w:val="FFFFFF"/>
          <w:lang w:val="en-US"/>
        </w:rPr>
        <w:t xml:space="preserve">Diego Ardigò, Executive Vice President, Global Research &amp; Development   </w:t>
      </w:r>
    </w:p>
    <w:p w14:paraId="41A534D4" w14:textId="77777777" w:rsidR="00CB6628" w:rsidRPr="009324E6" w:rsidRDefault="00000000">
      <w:pPr>
        <w:spacing w:after="0" w:line="259" w:lineRule="auto"/>
        <w:ind w:left="0" w:right="0" w:firstLine="0"/>
        <w:jc w:val="left"/>
        <w:rPr>
          <w:lang w:val="en-US"/>
        </w:rPr>
      </w:pPr>
      <w:r w:rsidRPr="009324E6">
        <w:rPr>
          <w:lang w:val="en-US"/>
        </w:rPr>
        <w:t xml:space="preserve"> </w:t>
      </w:r>
    </w:p>
    <w:p w14:paraId="79E8724B" w14:textId="77777777" w:rsidR="00CB6628" w:rsidRDefault="00000000">
      <w:pPr>
        <w:ind w:left="0" w:right="0" w:firstLine="0"/>
      </w:pPr>
      <w:r>
        <w:t xml:space="preserve">La stretta collaborazione tra R&amp;S e produzione svolge un ruolo cruciale nell'accelerazione del trasferimento tecnologico, un processo delicato nel settore biotecnologico che comporta trasporto, movimentazione e manutenzione. Integrando le intuizioni della R&amp;S direttamente nella produzione, il Biotech Center assicura che le nuove scoperte scientifiche vengano trasferite senza problemi alla produzione. Questo approccio evita le modifiche dell'ultimo minuto e garantisce che i processi produttivi rimangano strettamente allineati con i più recenti progressi scientifici, snellendo lo sviluppo dei farmaci e ottimizzando la qualità. </w:t>
      </w:r>
    </w:p>
    <w:p w14:paraId="657599CF" w14:textId="77777777" w:rsidR="00CB6628" w:rsidRDefault="00000000">
      <w:pPr>
        <w:spacing w:after="0" w:line="259" w:lineRule="auto"/>
        <w:ind w:left="0" w:right="0" w:firstLine="0"/>
        <w:jc w:val="left"/>
      </w:pPr>
      <w:r>
        <w:t xml:space="preserve"> </w:t>
      </w:r>
    </w:p>
    <w:p w14:paraId="6B9A900F" w14:textId="77777777" w:rsidR="00CB6628" w:rsidRDefault="00000000">
      <w:pPr>
        <w:ind w:left="0" w:right="0" w:firstLine="0"/>
      </w:pPr>
      <w:r>
        <w:t xml:space="preserve">Capacità produttive chiave </w:t>
      </w:r>
    </w:p>
    <w:p w14:paraId="239584F0" w14:textId="77777777" w:rsidR="00CB6628" w:rsidRDefault="00000000">
      <w:pPr>
        <w:numPr>
          <w:ilvl w:val="0"/>
          <w:numId w:val="1"/>
        </w:numPr>
        <w:ind w:right="0" w:hanging="360"/>
      </w:pPr>
      <w:r>
        <w:t xml:space="preserve">Volumi di produzione flessibili: lo stabilimento supporta sia la produzione clinica che quella commerciale, offrendo flessibilità sia per i trattamenti di malattie rare e </w:t>
      </w:r>
      <w:proofErr w:type="spellStart"/>
      <w:r>
        <w:t>ultrarare</w:t>
      </w:r>
      <w:proofErr w:type="spellEnd"/>
      <w:r>
        <w:t xml:space="preserve"> che per produzioni su larga scala. La capacità di produrre piccole quantità di farmaci è cruciale per i trattamenti delle malattie rare, che spesso richiedono lotti personalizzati e di dimensioni ridotte. Questo conferisce al centro un vantaggio competitivo nella fornitura di terapie specializzate di alta qualità ai pazienti. </w:t>
      </w:r>
    </w:p>
    <w:p w14:paraId="3A19BDD6" w14:textId="77777777" w:rsidR="00CB6628" w:rsidRDefault="00000000">
      <w:pPr>
        <w:numPr>
          <w:ilvl w:val="0"/>
          <w:numId w:val="1"/>
        </w:numPr>
        <w:ind w:right="0" w:hanging="360"/>
      </w:pPr>
      <w:r>
        <w:lastRenderedPageBreak/>
        <w:t xml:space="preserve">Scala di produzione di sostanze farmacologiche: il centro può gestire volumi di lavoro che vanno da 250L a 2000L per i processi a monte. </w:t>
      </w:r>
    </w:p>
    <w:p w14:paraId="08947BA2" w14:textId="77777777" w:rsidR="00CB6628" w:rsidRDefault="00000000">
      <w:pPr>
        <w:numPr>
          <w:ilvl w:val="0"/>
          <w:numId w:val="1"/>
        </w:numPr>
        <w:ind w:right="0" w:hanging="360"/>
      </w:pPr>
      <w:r>
        <w:t xml:space="preserve">Capacità di produzione di prodotti farmaceutici: la struttura produce forme farmaceutiche in fiale di dimensioni comprese tra 2R (2ml fiale) e 100R (100ml fiale). </w:t>
      </w:r>
    </w:p>
    <w:p w14:paraId="4357B4DE" w14:textId="77777777" w:rsidR="00CB6628" w:rsidRDefault="00000000">
      <w:pPr>
        <w:spacing w:after="0" w:line="259" w:lineRule="auto"/>
        <w:ind w:left="0" w:right="0" w:firstLine="0"/>
        <w:jc w:val="left"/>
      </w:pPr>
      <w:r>
        <w:t xml:space="preserve"> </w:t>
      </w:r>
    </w:p>
    <w:p w14:paraId="16C27946" w14:textId="77777777" w:rsidR="00CB6628" w:rsidRDefault="00000000">
      <w:pPr>
        <w:spacing w:after="0" w:line="259" w:lineRule="auto"/>
        <w:ind w:left="0" w:right="0" w:firstLine="0"/>
        <w:jc w:val="left"/>
      </w:pPr>
      <w:r>
        <w:t xml:space="preserve"> </w:t>
      </w:r>
    </w:p>
    <w:p w14:paraId="3DB336FD" w14:textId="77777777" w:rsidR="00CB6628" w:rsidRDefault="00000000">
      <w:pPr>
        <w:spacing w:after="0" w:line="259" w:lineRule="auto"/>
        <w:ind w:left="0" w:right="0" w:firstLine="0"/>
        <w:jc w:val="left"/>
      </w:pPr>
      <w:r>
        <w:t xml:space="preserve"> </w:t>
      </w:r>
    </w:p>
    <w:p w14:paraId="1F516978" w14:textId="77777777" w:rsidR="00CB6628" w:rsidRDefault="00000000">
      <w:pPr>
        <w:spacing w:after="0" w:line="259" w:lineRule="auto"/>
        <w:ind w:left="0" w:right="0" w:firstLine="0"/>
        <w:jc w:val="left"/>
      </w:pPr>
      <w:r>
        <w:t xml:space="preserve"> </w:t>
      </w:r>
    </w:p>
    <w:p w14:paraId="1147E71B" w14:textId="77777777" w:rsidR="00CB6628" w:rsidRDefault="00000000">
      <w:pPr>
        <w:ind w:left="0" w:right="0" w:firstLine="0"/>
      </w:pPr>
      <w:r>
        <w:t xml:space="preserve">Principali capacità di R&amp;S </w:t>
      </w:r>
    </w:p>
    <w:p w14:paraId="0E79A75E" w14:textId="77777777" w:rsidR="00CB6628" w:rsidRDefault="00000000">
      <w:pPr>
        <w:numPr>
          <w:ilvl w:val="0"/>
          <w:numId w:val="2"/>
        </w:numPr>
        <w:ind w:right="0" w:hanging="360"/>
      </w:pPr>
      <w:r>
        <w:t xml:space="preserve">Integrazione di competenze globali - la rete di R&amp;S di Chiesi si estende a livello internazionale, con la Svezia che si concentra sull'esperienza nelle sostanze farmacologiche e Parma che guida lo sviluppo dei prodotti farmaceutici, consentendo una gestione efficiente di progetti biotecnologici complessi. </w:t>
      </w:r>
    </w:p>
    <w:p w14:paraId="6C16693C" w14:textId="77777777" w:rsidR="00CB6628" w:rsidRDefault="00000000">
      <w:pPr>
        <w:numPr>
          <w:ilvl w:val="0"/>
          <w:numId w:val="2"/>
        </w:numPr>
        <w:ind w:right="0" w:hanging="360"/>
      </w:pPr>
      <w:r>
        <w:t xml:space="preserve">Portafoglio biotecnologico diversificato - le attività di R&amp;S si concentrano su AIR (patologie respiratorie), CARE (trattamenti specialistici) e RARE (malattie rare), rispondendo a un'ampia gamma di esigenze mediche attraverso soluzioni biotecnologiche innovative. </w:t>
      </w:r>
    </w:p>
    <w:p w14:paraId="32D00375" w14:textId="77777777" w:rsidR="00CB6628" w:rsidRDefault="00000000">
      <w:pPr>
        <w:numPr>
          <w:ilvl w:val="0"/>
          <w:numId w:val="2"/>
        </w:numPr>
        <w:ind w:right="0" w:hanging="360"/>
      </w:pPr>
      <w:r>
        <w:t xml:space="preserve">Collaborazione e attrazione di talenti - la divisione R&amp;S di Chiesi collabora con istituzioni accademiche e attrae talenti a livello mondiale, offrendo opportunità di lavorare su tecnologie all'avanguardia, in particolare nelle malattie rare e nelle terapie specialistiche, con un impatto sia scientifico che sociale. </w:t>
      </w:r>
    </w:p>
    <w:sectPr w:rsidR="00CB6628">
      <w:headerReference w:type="even" r:id="rId8"/>
      <w:headerReference w:type="default" r:id="rId9"/>
      <w:headerReference w:type="first" r:id="rId10"/>
      <w:pgSz w:w="11906" w:h="16838"/>
      <w:pgMar w:top="1896" w:right="1131" w:bottom="1305" w:left="1133" w:header="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E692" w14:textId="77777777" w:rsidR="00B21ECB" w:rsidRDefault="00B21ECB">
      <w:pPr>
        <w:spacing w:after="0" w:line="240" w:lineRule="auto"/>
      </w:pPr>
      <w:r>
        <w:separator/>
      </w:r>
    </w:p>
  </w:endnote>
  <w:endnote w:type="continuationSeparator" w:id="0">
    <w:p w14:paraId="1E5B9CB8" w14:textId="77777777" w:rsidR="00B21ECB" w:rsidRDefault="00B2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Pro">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8492E" w14:textId="77777777" w:rsidR="00B21ECB" w:rsidRDefault="00B21ECB">
      <w:pPr>
        <w:spacing w:after="0" w:line="240" w:lineRule="auto"/>
      </w:pPr>
      <w:r>
        <w:separator/>
      </w:r>
    </w:p>
  </w:footnote>
  <w:footnote w:type="continuationSeparator" w:id="0">
    <w:p w14:paraId="736B0027" w14:textId="77777777" w:rsidR="00B21ECB" w:rsidRDefault="00B2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B807" w14:textId="77777777" w:rsidR="00CB6628" w:rsidRDefault="00000000">
    <w:pPr>
      <w:spacing w:after="0" w:line="259" w:lineRule="auto"/>
      <w:ind w:left="1749"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491A713" wp14:editId="32C33A00">
              <wp:simplePos x="0" y="0"/>
              <wp:positionH relativeFrom="page">
                <wp:posOffset>12700</wp:posOffset>
              </wp:positionH>
              <wp:positionV relativeFrom="page">
                <wp:posOffset>12700</wp:posOffset>
              </wp:positionV>
              <wp:extent cx="3911346" cy="1079500"/>
              <wp:effectExtent l="0" t="0" r="0" b="0"/>
              <wp:wrapSquare wrapText="bothSides"/>
              <wp:docPr id="3073" name="Group 3073"/>
              <wp:cNvGraphicFramePr/>
              <a:graphic xmlns:a="http://schemas.openxmlformats.org/drawingml/2006/main">
                <a:graphicData uri="http://schemas.microsoft.com/office/word/2010/wordprocessingGroup">
                  <wpg:wgp>
                    <wpg:cNvGrpSpPr/>
                    <wpg:grpSpPr>
                      <a:xfrm>
                        <a:off x="0" y="0"/>
                        <a:ext cx="3911346" cy="1079500"/>
                        <a:chOff x="0" y="0"/>
                        <a:chExt cx="3911346" cy="1079500"/>
                      </a:xfrm>
                    </wpg:grpSpPr>
                    <pic:pic xmlns:pic="http://schemas.openxmlformats.org/drawingml/2006/picture">
                      <pic:nvPicPr>
                        <pic:cNvPr id="3074" name="Picture 3074"/>
                        <pic:cNvPicPr/>
                      </pic:nvPicPr>
                      <pic:blipFill>
                        <a:blip r:embed="rId1"/>
                        <a:stretch>
                          <a:fillRect/>
                        </a:stretch>
                      </pic:blipFill>
                      <pic:spPr>
                        <a:xfrm>
                          <a:off x="0" y="0"/>
                          <a:ext cx="3911346" cy="1079500"/>
                        </a:xfrm>
                        <a:prstGeom prst="rect">
                          <a:avLst/>
                        </a:prstGeom>
                      </pic:spPr>
                    </pic:pic>
                    <pic:pic xmlns:pic="http://schemas.openxmlformats.org/drawingml/2006/picture">
                      <pic:nvPicPr>
                        <pic:cNvPr id="3075" name="Picture 3075"/>
                        <pic:cNvPicPr/>
                      </pic:nvPicPr>
                      <pic:blipFill>
                        <a:blip r:embed="rId2"/>
                        <a:stretch>
                          <a:fillRect/>
                        </a:stretch>
                      </pic:blipFill>
                      <pic:spPr>
                        <a:xfrm>
                          <a:off x="191135" y="210185"/>
                          <a:ext cx="1200150" cy="266700"/>
                        </a:xfrm>
                        <a:prstGeom prst="rect">
                          <a:avLst/>
                        </a:prstGeom>
                      </pic:spPr>
                    </pic:pic>
                  </wpg:wgp>
                </a:graphicData>
              </a:graphic>
            </wp:anchor>
          </w:drawing>
        </mc:Choice>
        <mc:Fallback xmlns:a="http://schemas.openxmlformats.org/drawingml/2006/main">
          <w:pict>
            <v:group id="Group 3073" style="width:307.98pt;height:85pt;position:absolute;mso-position-horizontal-relative:page;mso-position-horizontal:absolute;margin-left:1pt;mso-position-vertical-relative:page;margin-top:1pt;" coordsize="39113,10795">
              <v:shape id="Picture 3074" style="position:absolute;width:39113;height:10795;left:0;top:0;" filled="f">
                <v:imagedata r:id="rId5"/>
              </v:shape>
              <v:shape id="Picture 3075" style="position:absolute;width:12001;height:2667;left:1911;top:2101;" filled="f">
                <v:imagedata r:id="rId6"/>
              </v:shape>
              <w10:wrap type="square"/>
            </v:group>
          </w:pict>
        </mc:Fallback>
      </mc:AlternateContent>
    </w:r>
    <w:r>
      <w:rPr>
        <w:rFonts w:ascii="Arial" w:eastAsia="Arial" w:hAnsi="Arial" w:cs="Arial"/>
      </w:rPr>
      <w:t xml:space="preserve"> </w:t>
    </w:r>
  </w:p>
  <w:p w14:paraId="54A0AC40" w14:textId="77777777" w:rsidR="00CB6628" w:rsidRDefault="00000000">
    <w:pPr>
      <w:spacing w:after="143" w:line="259" w:lineRule="auto"/>
      <w:ind w:left="0" w:right="-59" w:firstLine="0"/>
      <w:jc w:val="right"/>
    </w:pPr>
    <w:r>
      <w:rPr>
        <w:rFonts w:ascii="Arial" w:eastAsia="Arial" w:hAnsi="Arial" w:cs="Arial"/>
      </w:rPr>
      <w:t xml:space="preserve"> </w:t>
    </w:r>
    <w:r>
      <w:rPr>
        <w:rFonts w:ascii="Arial" w:eastAsia="Arial" w:hAnsi="Arial" w:cs="Arial"/>
      </w:rPr>
      <w:tab/>
      <w:t xml:space="preserve"> </w:t>
    </w:r>
  </w:p>
  <w:p w14:paraId="32FCE692" w14:textId="77777777" w:rsidR="00CB6628" w:rsidRDefault="00000000">
    <w:pPr>
      <w:spacing w:after="0" w:line="259" w:lineRule="auto"/>
      <w:ind w:left="0" w:right="2" w:firstLine="0"/>
      <w:jc w:val="right"/>
    </w:pPr>
    <w:r>
      <w:rPr>
        <w:color w:val="808080"/>
        <w:sz w:val="36"/>
      </w:rPr>
      <w:t>SCHEDA</w:t>
    </w:r>
    <w:r>
      <w:rPr>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B271" w14:textId="77777777" w:rsidR="00CB6628" w:rsidRDefault="00000000">
    <w:pPr>
      <w:spacing w:after="0" w:line="259" w:lineRule="auto"/>
      <w:ind w:left="1749"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694F163" wp14:editId="1AFD1F36">
              <wp:simplePos x="0" y="0"/>
              <wp:positionH relativeFrom="page">
                <wp:posOffset>12700</wp:posOffset>
              </wp:positionH>
              <wp:positionV relativeFrom="page">
                <wp:posOffset>12700</wp:posOffset>
              </wp:positionV>
              <wp:extent cx="3911346" cy="1079500"/>
              <wp:effectExtent l="0" t="0" r="0" b="0"/>
              <wp:wrapSquare wrapText="bothSides"/>
              <wp:docPr id="3055" name="Group 3055"/>
              <wp:cNvGraphicFramePr/>
              <a:graphic xmlns:a="http://schemas.openxmlformats.org/drawingml/2006/main">
                <a:graphicData uri="http://schemas.microsoft.com/office/word/2010/wordprocessingGroup">
                  <wpg:wgp>
                    <wpg:cNvGrpSpPr/>
                    <wpg:grpSpPr>
                      <a:xfrm>
                        <a:off x="0" y="0"/>
                        <a:ext cx="3911346" cy="1079500"/>
                        <a:chOff x="0" y="0"/>
                        <a:chExt cx="3911346" cy="1079500"/>
                      </a:xfrm>
                    </wpg:grpSpPr>
                    <pic:pic xmlns:pic="http://schemas.openxmlformats.org/drawingml/2006/picture">
                      <pic:nvPicPr>
                        <pic:cNvPr id="3056" name="Picture 3056"/>
                        <pic:cNvPicPr/>
                      </pic:nvPicPr>
                      <pic:blipFill>
                        <a:blip r:embed="rId1"/>
                        <a:stretch>
                          <a:fillRect/>
                        </a:stretch>
                      </pic:blipFill>
                      <pic:spPr>
                        <a:xfrm>
                          <a:off x="0" y="0"/>
                          <a:ext cx="3911346" cy="1079500"/>
                        </a:xfrm>
                        <a:prstGeom prst="rect">
                          <a:avLst/>
                        </a:prstGeom>
                      </pic:spPr>
                    </pic:pic>
                    <pic:pic xmlns:pic="http://schemas.openxmlformats.org/drawingml/2006/picture">
                      <pic:nvPicPr>
                        <pic:cNvPr id="3057" name="Picture 3057"/>
                        <pic:cNvPicPr/>
                      </pic:nvPicPr>
                      <pic:blipFill>
                        <a:blip r:embed="rId2"/>
                        <a:stretch>
                          <a:fillRect/>
                        </a:stretch>
                      </pic:blipFill>
                      <pic:spPr>
                        <a:xfrm>
                          <a:off x="191135" y="210185"/>
                          <a:ext cx="1200150" cy="266700"/>
                        </a:xfrm>
                        <a:prstGeom prst="rect">
                          <a:avLst/>
                        </a:prstGeom>
                      </pic:spPr>
                    </pic:pic>
                  </wpg:wgp>
                </a:graphicData>
              </a:graphic>
            </wp:anchor>
          </w:drawing>
        </mc:Choice>
        <mc:Fallback xmlns:a="http://schemas.openxmlformats.org/drawingml/2006/main">
          <w:pict>
            <v:group id="Group 3055" style="width:307.98pt;height:85pt;position:absolute;mso-position-horizontal-relative:page;mso-position-horizontal:absolute;margin-left:1pt;mso-position-vertical-relative:page;margin-top:1pt;" coordsize="39113,10795">
              <v:shape id="Picture 3056" style="position:absolute;width:39113;height:10795;left:0;top:0;" filled="f">
                <v:imagedata r:id="rId5"/>
              </v:shape>
              <v:shape id="Picture 3057" style="position:absolute;width:12001;height:2667;left:1911;top:2101;" filled="f">
                <v:imagedata r:id="rId6"/>
              </v:shape>
              <w10:wrap type="square"/>
            </v:group>
          </w:pict>
        </mc:Fallback>
      </mc:AlternateContent>
    </w:r>
    <w:r>
      <w:rPr>
        <w:rFonts w:ascii="Arial" w:eastAsia="Arial" w:hAnsi="Arial" w:cs="Arial"/>
      </w:rPr>
      <w:t xml:space="preserve"> </w:t>
    </w:r>
  </w:p>
  <w:p w14:paraId="4D5D9368" w14:textId="77777777" w:rsidR="00CB6628" w:rsidRDefault="00000000">
    <w:pPr>
      <w:spacing w:after="143" w:line="259" w:lineRule="auto"/>
      <w:ind w:left="0" w:right="-59" w:firstLine="0"/>
      <w:jc w:val="right"/>
    </w:pPr>
    <w:r>
      <w:rPr>
        <w:rFonts w:ascii="Arial" w:eastAsia="Arial" w:hAnsi="Arial" w:cs="Arial"/>
      </w:rPr>
      <w:t xml:space="preserve"> </w:t>
    </w:r>
    <w:r>
      <w:rPr>
        <w:rFonts w:ascii="Arial" w:eastAsia="Arial" w:hAnsi="Arial" w:cs="Arial"/>
      </w:rPr>
      <w:tab/>
      <w:t xml:space="preserve"> </w:t>
    </w:r>
  </w:p>
  <w:p w14:paraId="19ECEE73" w14:textId="77777777" w:rsidR="00CB6628" w:rsidRDefault="00000000">
    <w:pPr>
      <w:spacing w:after="0" w:line="259" w:lineRule="auto"/>
      <w:ind w:left="0" w:right="2" w:firstLine="0"/>
      <w:jc w:val="right"/>
    </w:pPr>
    <w:r>
      <w:rPr>
        <w:color w:val="808080"/>
        <w:sz w:val="36"/>
      </w:rPr>
      <w:t>SCHEDA</w:t>
    </w:r>
    <w:r>
      <w:rPr>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FBF2" w14:textId="77777777" w:rsidR="00CB6628" w:rsidRDefault="00000000">
    <w:pPr>
      <w:spacing w:after="0" w:line="259" w:lineRule="auto"/>
      <w:ind w:left="1749"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BA30F97" wp14:editId="3999FDCE">
              <wp:simplePos x="0" y="0"/>
              <wp:positionH relativeFrom="page">
                <wp:posOffset>12700</wp:posOffset>
              </wp:positionH>
              <wp:positionV relativeFrom="page">
                <wp:posOffset>12700</wp:posOffset>
              </wp:positionV>
              <wp:extent cx="3911346" cy="1079500"/>
              <wp:effectExtent l="0" t="0" r="0" b="0"/>
              <wp:wrapSquare wrapText="bothSides"/>
              <wp:docPr id="3037" name="Group 3037"/>
              <wp:cNvGraphicFramePr/>
              <a:graphic xmlns:a="http://schemas.openxmlformats.org/drawingml/2006/main">
                <a:graphicData uri="http://schemas.microsoft.com/office/word/2010/wordprocessingGroup">
                  <wpg:wgp>
                    <wpg:cNvGrpSpPr/>
                    <wpg:grpSpPr>
                      <a:xfrm>
                        <a:off x="0" y="0"/>
                        <a:ext cx="3911346" cy="1079500"/>
                        <a:chOff x="0" y="0"/>
                        <a:chExt cx="3911346" cy="1079500"/>
                      </a:xfrm>
                    </wpg:grpSpPr>
                    <pic:pic xmlns:pic="http://schemas.openxmlformats.org/drawingml/2006/picture">
                      <pic:nvPicPr>
                        <pic:cNvPr id="3038" name="Picture 3038"/>
                        <pic:cNvPicPr/>
                      </pic:nvPicPr>
                      <pic:blipFill>
                        <a:blip r:embed="rId1"/>
                        <a:stretch>
                          <a:fillRect/>
                        </a:stretch>
                      </pic:blipFill>
                      <pic:spPr>
                        <a:xfrm>
                          <a:off x="0" y="0"/>
                          <a:ext cx="3911346" cy="1079500"/>
                        </a:xfrm>
                        <a:prstGeom prst="rect">
                          <a:avLst/>
                        </a:prstGeom>
                      </pic:spPr>
                    </pic:pic>
                    <pic:pic xmlns:pic="http://schemas.openxmlformats.org/drawingml/2006/picture">
                      <pic:nvPicPr>
                        <pic:cNvPr id="3039" name="Picture 3039"/>
                        <pic:cNvPicPr/>
                      </pic:nvPicPr>
                      <pic:blipFill>
                        <a:blip r:embed="rId2"/>
                        <a:stretch>
                          <a:fillRect/>
                        </a:stretch>
                      </pic:blipFill>
                      <pic:spPr>
                        <a:xfrm>
                          <a:off x="191135" y="210185"/>
                          <a:ext cx="1200150" cy="266700"/>
                        </a:xfrm>
                        <a:prstGeom prst="rect">
                          <a:avLst/>
                        </a:prstGeom>
                      </pic:spPr>
                    </pic:pic>
                  </wpg:wgp>
                </a:graphicData>
              </a:graphic>
            </wp:anchor>
          </w:drawing>
        </mc:Choice>
        <mc:Fallback xmlns:a="http://schemas.openxmlformats.org/drawingml/2006/main">
          <w:pict>
            <v:group id="Group 3037" style="width:307.98pt;height:85pt;position:absolute;mso-position-horizontal-relative:page;mso-position-horizontal:absolute;margin-left:1pt;mso-position-vertical-relative:page;margin-top:1pt;" coordsize="39113,10795">
              <v:shape id="Picture 3038" style="position:absolute;width:39113;height:10795;left:0;top:0;" filled="f">
                <v:imagedata r:id="rId5"/>
              </v:shape>
              <v:shape id="Picture 3039" style="position:absolute;width:12001;height:2667;left:1911;top:2101;" filled="f">
                <v:imagedata r:id="rId6"/>
              </v:shape>
              <w10:wrap type="square"/>
            </v:group>
          </w:pict>
        </mc:Fallback>
      </mc:AlternateContent>
    </w:r>
    <w:r>
      <w:rPr>
        <w:rFonts w:ascii="Arial" w:eastAsia="Arial" w:hAnsi="Arial" w:cs="Arial"/>
      </w:rPr>
      <w:t xml:space="preserve"> </w:t>
    </w:r>
  </w:p>
  <w:p w14:paraId="5152452F" w14:textId="77777777" w:rsidR="00CB6628" w:rsidRDefault="00000000">
    <w:pPr>
      <w:spacing w:after="143" w:line="259" w:lineRule="auto"/>
      <w:ind w:left="0" w:right="-59" w:firstLine="0"/>
      <w:jc w:val="right"/>
    </w:pPr>
    <w:r>
      <w:rPr>
        <w:rFonts w:ascii="Arial" w:eastAsia="Arial" w:hAnsi="Arial" w:cs="Arial"/>
      </w:rPr>
      <w:t xml:space="preserve"> </w:t>
    </w:r>
    <w:r>
      <w:rPr>
        <w:rFonts w:ascii="Arial" w:eastAsia="Arial" w:hAnsi="Arial" w:cs="Arial"/>
      </w:rPr>
      <w:tab/>
      <w:t xml:space="preserve"> </w:t>
    </w:r>
  </w:p>
  <w:p w14:paraId="5C3506D8" w14:textId="77777777" w:rsidR="00CB6628" w:rsidRDefault="00000000">
    <w:pPr>
      <w:spacing w:after="0" w:line="259" w:lineRule="auto"/>
      <w:ind w:left="0" w:right="2" w:firstLine="0"/>
      <w:jc w:val="right"/>
    </w:pPr>
    <w:r>
      <w:rPr>
        <w:color w:val="808080"/>
        <w:sz w:val="36"/>
      </w:rPr>
      <w:t>SCHEDA</w:t>
    </w:r>
    <w:r>
      <w:rPr>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54D00"/>
    <w:multiLevelType w:val="hybridMultilevel"/>
    <w:tmpl w:val="873ED3B2"/>
    <w:lvl w:ilvl="0" w:tplc="DBE4563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A8F6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86756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E417D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E2B3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DA86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02BE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561C9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BE31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4455F9"/>
    <w:multiLevelType w:val="hybridMultilevel"/>
    <w:tmpl w:val="DBF2804A"/>
    <w:lvl w:ilvl="0" w:tplc="0C7E9D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447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E2A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5A28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A31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621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4ED6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24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817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1117328">
    <w:abstractNumId w:val="0"/>
  </w:num>
  <w:num w:numId="2" w16cid:durableId="196805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28"/>
    <w:rsid w:val="009324E6"/>
    <w:rsid w:val="00B21ECB"/>
    <w:rsid w:val="00C7190A"/>
    <w:rsid w:val="00CB6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1D8620"/>
  <w15:docId w15:val="{E409FB00-6CBC-C244-8DBD-91F84A9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 w:line="249" w:lineRule="auto"/>
      <w:ind w:left="370" w:right="1" w:hanging="370"/>
      <w:jc w:val="both"/>
    </w:pPr>
    <w:rPr>
      <w:rFonts w:ascii="Verdana Pro" w:eastAsia="Verdana Pro" w:hAnsi="Verdana Pro" w:cs="Times New Roman"/>
      <w:color w:val="000000"/>
      <w:sz w:val="22"/>
      <w:lang w:val="it" w:eastAsia="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Spinetti</dc:creator>
  <cp:keywords/>
  <cp:lastModifiedBy>Irene Spinetti</cp:lastModifiedBy>
  <cp:revision>2</cp:revision>
  <dcterms:created xsi:type="dcterms:W3CDTF">2024-09-27T15:24:00Z</dcterms:created>
  <dcterms:modified xsi:type="dcterms:W3CDTF">2024-09-27T15:24:00Z</dcterms:modified>
</cp:coreProperties>
</file>